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IA 19 vom 24. März 1994</w:t>
      </w:r>
    </w:p>
    <w:p>
      <w:r>
        <w:t>Bundesgericht (BGE), 1994-03-24, DE</w:t>
      </w:r>
    </w:p>
    <w:p>
      <w:r>
        <w:rPr>
          <w:b/>
        </w:rPr>
        <w:t xml:space="preserve">Quelle: </w:t>
      </w:r>
      <w:r>
        <w:t>https://mcp.opencaselaw.ch/entscheid/bge_120 IA 19</w:t>
      </w:r>
    </w:p>
    <w:p>
      <w:r>
        <w:t>FR: BGE 120 IA 19 du 24 mars 1994</w:t>
      </w:r>
    </w:p>
    <w:p>
      <w:r>
        <w:t>IT: BGE 120 IA 19 del 24 marzo 1994</w:t>
      </w:r>
    </w:p>
    <w:p>
      <w:pPr>
        <w:pStyle w:val="Heading2"/>
      </w:pPr>
      <w:r>
        <w:t>Regeste</w:t>
      </w:r>
    </w:p>
    <w:p>
      <w:r>
        <w:t>Regeste Art. 6 Ziff. 1 EMRK; Anspruch auf richterliche Beurteilung einer Werkplanfestsetzung für einen Schulhausbau. Der Anspruch auf eine richterliche Überprüfung nach Art. 6 Ziff. 1 EMRK ist grundsätzlich bereits vor der letzten kantonalen Instanz geltend zu machen (E. 2c). Gegenüber der Festsetzung von Werkplänen nach zürcherischem Recht besteht ein Anspruch auf eine richterliche Überprüfung nach Art. 6 Ziff. 1 EMRK, da diese Pläne dem Werkträger das Enteignungsrecht erteilen (E. 3). Vorliegend gewährleistet weder das kantonale Verfahren noch das staatsrechtliche Beschwerdeverfahren vor Bundesgericht den nach Art. 6 Ziff. 1 EMRK erforderlichen gerichtlichen Rechtsschutz (E. 4). Anweisung an den Kanton Zürich, dem Beschwerdeführer eine Gerichtsinstanz im Sinne von Art. 6 Ziff. 1 EMRK zur Verfügung zu stellen, welche den Sachverhalt und die Rechtsanwendung frei überprüft (E. 5).</w:t>
      </w:r>
    </w:p>
    <w:p>
      <w:pPr>
        <w:pStyle w:val="Heading2"/>
      </w:pPr>
      <w:r>
        <w:t>Erwägungen</w:t>
      </w:r>
    </w:p>
    <w:p>
      <w:r>
        <w:rPr>
          <w:b/>
        </w:rPr>
        <w:t>E. 2</w:t>
      </w:r>
    </w:p>
    <w:p>
      <w:r>
        <w:t>Der erste angefochtene Entscheid bestätigt die Zulässigkeit der fraglichen Werkplanfestsetzung. Der zweite verneint die Verletzung wesentlicher Verfahrensvorschriften bzw. die versehentliche Nichtberücksichtigung aktenkundiger Tatsachen im ersten Verfahren betreffend die Festsetzung des Werkplans. a) Nach Art. 84 Abs. 1 OG können kantonale Erlasse und Verfügungen (Entscheide) mit staatsrechtlicher Beschwerde angefochten werden. Ein solcher anfechtbarer Hoheitsakt liegt nur vor, wenn dadurch die Rechtsstellung des Bürgers in verbindlicher Weise festgelegt wird ( BGE 118 Ia 165 E. 2a S. 168; BGE 113 Ia 232 E. 1 S. 234 f.). Der Regierungsrat weist in seiner Vernehmlassung darauf hin, dass der umstrittene Werkplan - trotz des irreführenden Titels des angefochtenen Entscheids - noch nicht genehmigt sei. Grundsätzlich sind zwar Rechtsmittelentscheide über die Festsetzung von Nutzungsplänen erst nach Vorliegen der Genehmigung mit staatsrechtlicher Beschwerde anfechtbar, da sie erst damit rechtsverbindlich werden ( Art. 26 Abs. 3 des Bundesgesetzes über die Raumplanung vom 22. Juni 1979 [RPG; SR 700] ). Mit Rücksicht auf die besondere Ordnung des Planfestsetzungsverfahrens im Kanton Zürich tritt das Bundesgericht jedoch auf staatsrechtliche Beschwerden gegen Nutzungspläne auch dann ein, wenn die Genehmigung bezüglich des fraglichen Grundstücks noch nicht vorliegt ( BGE 118 Ia 165 E. 2a S. 168 f.). Die Entscheide des Regierungsrats vom 28. April 1993 und 3. November 1993 können somit mit staatsrechtlicher Beschwerde angefochten werden. b) Nach Art. 86 Abs. 1 OG ist die staatsrechtliche Beschwerde nur gegen letztinstanzliche kantonale Entscheide zulässig. Das zürcherische Recht sieht in § 67 lit. a und b des Gesetzes über den Rechtsschutz in Verwaltungssachen vom 24. Mai 1959 (VRG) gegen Urteile des Regierungsrats und des Verwaltungsgerichts ein BGE 120 Ia 19 S. 23 kassatorisches Rechtsmittel vor, das grundsätzlich ergriffen werden muss, bevor entsprechende Rügen mit staatsrechtlicher Beschwerde dem Bundesgericht unterbreitet werden können ( BGE 110 Ia 136 E. 2 S. 137 f.; BGE 106 Ia 52 E. 1b S. 54 f.; BGE 101 Ia 298 E. 1a S. 299 f.). Der Beschwerdeführer hat in Übereinstimmung mit dieser Rechtslage gegen das erste Urteil des Regierungsrats vom 28. April 1993 nicht nur eine staatsrechtliche Beschwerde, sondern auch ein Revisionsgesuch beim Regierungsrat eingereicht. In seiner zweiten Beschwerde gegen den Entscheid vom 3. November 1993 rügt er nicht allein Verfassungsverletzungen dieses letzteren Entscheids, sondern auch solche des ersten vom 28. April 1993, die er in seiner ersten Beschwerde noch nicht vorgebracht hat. Der Regierungsrat ist der Auffassung, auf diese neuen Rügen könne nicht eingetreten werden, da sie bereits in der Beschwerde gegen den ersten Entscheid hätten geltend gemacht werden müssen. Die Rechtsprechung des Bundesgerichts verlangt in Fällen, in denen neben dem letztinstanzlichen auch noch ein diesem vorangehender Entscheid mitangefochten werden kann, nicht, dass einzelne Rügen bereits vor dem letztinstanzlichen Entscheid zu erheben sind. Es müssen mit anderen Worten die Einwendungen, die zwar mit staatsrechtlicher Beschwerde vor Bundesgericht, aber nicht oder nicht im gleichem Umfang vor der letzten kantonalen Instanz vorgebracht werden können, nicht bereits neben der Einlegung des letzten kantonalen Rechtsmittels mit staatsrechtlicher Beschwerde beim Bundesgericht geltend gemacht werden. Es ist vielmehr zulässig, diese Rügen auch noch im Anschluss an den letzten kantonalen Entscheid mit staatsrechtlicher Beschwerde vorzubringen. Voraussetzung ist allerdings, dass der Beschwerdeführer die Aufhebung beider Hoheitsakte verlangt ( BGE 115 Ia 414 E. 1 S. 415; BGE 110 Ia 136 E. 3b S. 138 f.; BGE 94 I 459 E. 2b/bb S. 462 f.). Im vorliegenden Fall beantragt der Beschwerdeführer mit seiner zweiten Beschwerde ausdrücklich zwar lediglich die Aufhebung des Revisionsentscheids. Er stellt aber zugleich den Antrag, die neu eingereichte zweite Beschwerde zusammen mit der bereits eingereichten ersten zu behandeln, in welcher er die Aufhebung des ersten Entscheids beantragt. Darin kann sinngemäss eine Mitanfechtung auch des ersten Entscheids durch die zweite Beschwerde gesehen werden. Es ist daher ebenfalls auf die erst in der zweiten Beschwerde erhobenen Rügen gegen den ersten Entscheid einzutreten. c) Der Beschwerdeführer macht in seiner Beschwerde an das Bundesgericht geltend, der Anspruch auf eine Beurteilung seiner BGE 120 Ia 19 S. 24 Sache durch ein unabhängiges und unparteiisches Gericht gemäss Art. 6 Ziff. 1 EMRK sei verletzt. Der Regierungsrat hält diese Rüge für unzulässig, da sie erstmals im staatsrechtlichen Beschwerdeverfahren erhoben werde. Ihre Geltendmachung erst vor Bundesgericht verstosse gegen Treu und Glauben. aa) Nach der Rechtsprechung des Bundesgerichts hat der Rechtsuchende gewisse Mängel des Verfahrens sofort nach deren Kenntnis zu rügen. Es widerspricht dem Grundsatz von Treu und Glauben, diejenigen Einwände erst nach dem Ergehen eines ungünstigen Entscheids in einem anschliessenden Rechtsmittelverfahren zu erheben, die bei rechtzeitiger Geltendmachung im vorangehenden Verfahren noch hätten behoben werden können (vgl. BGE 119 Ia 221 E. 5a S. 228 f. sowie JEAN-FRANÇOIS EGLI, La protection de la bonne foi dans le procès, in: Giurisdizione costituzionale e Giurisdizione amministrativa, 1992, S. 239 f.). Aus diesem Grund hat beispielsweise derjenige, der einen Richter oder Beamten wegen Befangenheit ablehnen will, das entsprechende Begehren unverzüglich zu stellen, nachdem er vom Ablehnungsgrund Kenntnis erlangt hat; lässt er sich stillschweigend auf den Prozess ein, verwirkt er sein Ablehnungsrecht ( BGE 117 Ia 322 E. 1c S. 323; BGE 116 Ia 485 E. 2c S. 487; BGE 114 Ia 278 E. 3e S. 280). bb) Der Grundsatz von Treu und Glauben gilt auch bei der Geltendmachung einer Verletzung von Art. 6 Ziff. 1 EMRK (vgl. BGE 119 Ia 221 E. 5 S. 227 ff.). In der jüngsten Praxis wurde allerdings die erstmalige Anrufung dieser Bestimmung vor Bundesgericht wiederholt zugelassen. Dies geschah im Zusammenhang mit der Geltendmachung des Anspruchs auf einen richterlichen Rechtsschutz aus der Erwägung, dass Art. 6 Ziff. 1 EMRK nicht ausschliesst, dass zunächst eine Verwaltungsbehörde entscheidet und dass erst deren Entscheid bei einem Gericht angefochten werden kann. Es wurde davon ausgegangen, dass für den Rechtsuchenden unter diesen Umständen kein Anlass bestehe, die Verletzung von Art. 6 Ziff. 1 EMRK bereits bei einer nichtrichterlichen letzten kantonalen Instanz geltend zu machen ( BGE 119 Ia 88 E. 1b S. 91; nicht veröffentlichtes Urteil vom 13. Juli 1993 i.S. Fondation C. c. Commune de Montreux, E. 3b; vgl. auch BGE 117 Ia 522 E. 3a S. 526). In einem Entscheid führte das Bundesgericht auch aus, der Beschwerdeführer sei nicht verpflichtet gewesen, die Öffentlichkeit des Verfahrens gestützt auf Art. 6 Ziff. 1 EMRK bereits im kantonalen Verfahren zu verlangen, da in diesem Zeitpunkt die Rechtslage gemäss der Praxis des Europäischen BGE 120 Ia 19 S. 25 Gerichtshofs für Menschenrechte noch nicht völlig klar gewesen sei ( BGE 117 Ia 491 E. 2a S. 495). In der Zwischenzeit hat sich die Situation in den Fällen geändert, in denen - wie in der vorliegenden Sache (vgl. nachstehend E. 3a) - über die Anwendbarkeit von Art. 6 Ziff. 1 EMRK eine gefestigte Rechtsprechung besteht. Ferner ist zu beachten, dass die neuere Praxis des Bundesgerichts die Kantone verpflichtet, auch in den Fällen einen Art. 6 Ziff. 1 EMRK genügenden gerichtlichen Rechtsschutz sicherzustellen, in denen er nach der massgebenden kantonalen Gesetzgebung noch nicht besteht. In dieser Situation haben sie die gerichtliche Überprüfung direkt gestützt auf Art. 6 Ziff. 1 EMRK zu gewährleisten, sei es durch eine konventionskonforme Auslegung bestehender Vorschriften, sei es durch den Erlass einer Übergangsregelung durch Verordnung oder durch die Bezeichnung des Gerichts im Einzelfall ( BGE 118 Ia 331 E. 3 S. 333 ff.). Das setzt aber voraus, dass rechtzeitig bekannt ist, ob der Rechtsuchende eine gerichtliche Beurteilung seiner Sache verlangt, damit das Nötige zur Erfüllung eines solchen Begehrens vorgekehrt werden kann. Will daher der Rechtsuchende schon vor der Anpassung der kantonalen Gesetzgebung an die Anforderungen von Art. 6 Ziff. 1 EMRK seine sich aus dieser Bestimmung ergebenden Rechte geltend machen, so darf von ihm nach Treu und Glauben erwartet werden, dass er die entsprechende Rüge bereits vor der letztinstanzlichen kantonalen Verwaltungsbehörde und nicht erst vor Bundesgericht erhebt. Dies gibt dem Kanton die Möglichkeit, rechtzeitig einen konventionskonformen richterlichen Rechtsschutz zur Verfügung zu stellen. Dadurch lassen sich unnötige Verfahrensverzögerungen und eine Anrufung des Bundesgerichts vermeiden.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